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0770" w:rsidP="00140770" w:rsidRDefault="00140770" w14:paraId="550D03AD" w14:textId="4D13C009">
      <w:pPr>
        <w:pStyle w:val="Heading1"/>
      </w:pPr>
      <w:r w:rsidR="027D70AA">
        <w:rPr/>
        <w:t>EHN Outpatient Services</w:t>
      </w:r>
      <w:r w:rsidR="00140770">
        <w:rPr/>
        <w:t xml:space="preserve"> </w:t>
      </w:r>
      <w:r w:rsidR="008234CD">
        <w:rPr/>
        <w:t>P</w:t>
      </w:r>
      <w:r w:rsidR="00EB1A30">
        <w:rPr/>
        <w:t>rivacy Impact Assessment</w:t>
      </w:r>
      <w:r w:rsidR="008234CD">
        <w:rPr/>
        <w:t xml:space="preserve"> Summary </w:t>
      </w:r>
    </w:p>
    <w:p w:rsidR="00140770" w:rsidP="008234CD" w:rsidRDefault="00140770" w14:paraId="78E7A661" w14:textId="77777777"/>
    <w:p w:rsidR="00140770" w:rsidP="00140770" w:rsidRDefault="008234CD" w14:paraId="5A938926" w14:textId="3D978575">
      <w:r w:rsidRPr="00140770">
        <w:rPr>
          <w:b/>
        </w:rPr>
        <w:t xml:space="preserve">Author: </w:t>
      </w:r>
      <w:r w:rsidR="00140770">
        <w:t>Samantha Campbell</w:t>
      </w:r>
      <w:r>
        <w:t xml:space="preserve"> </w:t>
      </w:r>
    </w:p>
    <w:p w:rsidR="00140770" w:rsidP="00140770" w:rsidRDefault="00140770" w14:paraId="0A3F6878" w14:textId="5E4791F7">
      <w:r w:rsidRPr="164BD4C8" w:rsidR="00140770">
        <w:rPr>
          <w:b w:val="1"/>
          <w:bCs w:val="1"/>
        </w:rPr>
        <w:t>Version:</w:t>
      </w:r>
      <w:r w:rsidR="00140770">
        <w:rPr/>
        <w:t xml:space="preserve"> </w:t>
      </w:r>
      <w:r w:rsidR="008234CD">
        <w:rPr/>
        <w:t xml:space="preserve"> </w:t>
      </w:r>
      <w:r w:rsidR="04E9E85E">
        <w:rPr/>
        <w:t>EHN Outpatient Services</w:t>
      </w:r>
      <w:r w:rsidR="00140770">
        <w:rPr/>
        <w:t xml:space="preserve"> </w:t>
      </w:r>
      <w:r w:rsidR="00140770">
        <w:rPr/>
        <w:t xml:space="preserve">Version </w:t>
      </w:r>
      <w:r w:rsidR="0DEECC65">
        <w:rPr/>
        <w:t>3</w:t>
      </w:r>
      <w:r w:rsidR="00140770">
        <w:rPr/>
        <w:t>.0</w:t>
      </w:r>
    </w:p>
    <w:p w:rsidR="008234CD" w:rsidP="00140770" w:rsidRDefault="008234CD" w14:paraId="1DB5273E" w14:textId="5247A45D">
      <w:r w:rsidRPr="164BD4C8" w:rsidR="008234CD">
        <w:rPr>
          <w:b w:val="1"/>
          <w:bCs w:val="1"/>
        </w:rPr>
        <w:t>Date</w:t>
      </w:r>
      <w:r w:rsidRPr="164BD4C8" w:rsidR="00140770">
        <w:rPr>
          <w:b w:val="1"/>
          <w:bCs w:val="1"/>
        </w:rPr>
        <w:t>:</w:t>
      </w:r>
      <w:r w:rsidR="008234CD">
        <w:rPr/>
        <w:t xml:space="preserve"> </w:t>
      </w:r>
      <w:r w:rsidR="1DE9D6FE">
        <w:rPr/>
        <w:t>December 20</w:t>
      </w:r>
      <w:r w:rsidR="006D5BC6">
        <w:rPr/>
        <w:t>, 202</w:t>
      </w:r>
      <w:r w:rsidR="0170232A">
        <w:rPr/>
        <w:t>1</w:t>
      </w:r>
      <w:r>
        <w:br/>
      </w:r>
    </w:p>
    <w:p w:rsidRPr="00140770" w:rsidR="00140770" w:rsidP="00140770" w:rsidRDefault="008234CD" w14:paraId="60E59896" w14:textId="657924BB">
      <w:pPr>
        <w:pStyle w:val="Heading2"/>
      </w:pPr>
      <w:r w:rsidRPr="00140770">
        <w:t>Executive Summary</w:t>
      </w:r>
    </w:p>
    <w:p w:rsidR="008234CD" w:rsidP="00140770" w:rsidRDefault="00551AE5" w14:paraId="5D84FEF1" w14:textId="55EBDF21">
      <w:r w:rsidR="00551AE5">
        <w:rPr/>
        <w:t xml:space="preserve">In accordance with Ontario Regulation 329/04 made under the Personal Health Information Protection Act , 2004 (PHIPA), </w:t>
      </w:r>
      <w:r w:rsidR="34896507">
        <w:rPr/>
        <w:t>the EHN Outpatient Services</w:t>
      </w:r>
      <w:r w:rsidR="00D0189A">
        <w:rPr/>
        <w:t xml:space="preserve"> team </w:t>
      </w:r>
      <w:r w:rsidR="00551AE5">
        <w:rPr/>
        <w:t xml:space="preserve">has completed a Privacy Impact Assessment (PIA) for </w:t>
      </w:r>
      <w:r w:rsidR="6DCF6105">
        <w:rPr/>
        <w:t>EHN Outpatient Services Version 3.0</w:t>
      </w:r>
      <w:r w:rsidR="00551AE5">
        <w:rPr/>
        <w:t xml:space="preserve">. </w:t>
      </w:r>
    </w:p>
    <w:p w:rsidRPr="00A52413" w:rsidR="00A52413" w:rsidP="164BD4C8" w:rsidRDefault="00A52413" w14:paraId="14800982" w14:textId="3C81587D">
      <w:pPr>
        <w:rPr>
          <w:rFonts w:cs="Calibri" w:cstheme="minorAscii"/>
        </w:rPr>
      </w:pPr>
      <w:r w:rsidRPr="164BD4C8" w:rsidR="346C1F99">
        <w:rPr>
          <w:rFonts w:cs="Calibri" w:cstheme="minorAscii"/>
        </w:rPr>
        <w:t>EHN Outpatient Services</w:t>
      </w:r>
      <w:r w:rsidRPr="164BD4C8" w:rsidR="00A52413">
        <w:rPr>
          <w:rFonts w:cs="Calibri" w:cstheme="minorAscii"/>
        </w:rPr>
        <w:t xml:space="preserve"> provides online mental health and addiction treatment, counselling, and aftercare services to individuals. </w:t>
      </w:r>
      <w:r w:rsidRPr="164BD4C8" w:rsidR="7D3C4996">
        <w:rPr>
          <w:rFonts w:cs="Calibri" w:cstheme="minorAscii"/>
        </w:rPr>
        <w:t xml:space="preserve">The </w:t>
      </w:r>
      <w:r w:rsidRPr="164BD4C8" w:rsidR="00A52413">
        <w:rPr>
          <w:rFonts w:cs="Calibri" w:cstheme="minorAscii"/>
        </w:rPr>
        <w:t xml:space="preserve">Wagon </w:t>
      </w:r>
      <w:r w:rsidRPr="164BD4C8" w:rsidR="770C45FE">
        <w:rPr>
          <w:rFonts w:cs="Calibri" w:cstheme="minorAscii"/>
        </w:rPr>
        <w:t xml:space="preserve">system </w:t>
      </w:r>
      <w:r w:rsidRPr="164BD4C8" w:rsidR="00A52413">
        <w:rPr>
          <w:rFonts w:cs="Calibri" w:cstheme="minorAscii"/>
        </w:rPr>
        <w:t>provides both online therapy and the Wagon mobile recovery app to help individuals suffering from mental health and addiction disorders achieve long-term recovery.</w:t>
      </w:r>
      <w:r w:rsidRPr="164BD4C8" w:rsidR="00A52413">
        <w:rPr>
          <w:rFonts w:cs="Calibri" w:cstheme="minorAscii"/>
        </w:rPr>
        <w:t xml:space="preserve"> </w:t>
      </w:r>
      <w:r w:rsidRPr="164BD4C8" w:rsidR="00A52413">
        <w:rPr>
          <w:rFonts w:cs="Calibri" w:cstheme="minorAscii"/>
        </w:rPr>
        <w:t xml:space="preserve">The Wagon app is a companion tool with a library of tools to help clients on a daily basis. </w:t>
      </w:r>
      <w:r w:rsidRPr="164BD4C8" w:rsidR="00A52413">
        <w:rPr>
          <w:rFonts w:cs="Calibri" w:cstheme="minorAscii"/>
        </w:rPr>
        <w:t xml:space="preserve">The </w:t>
      </w:r>
      <w:r w:rsidRPr="164BD4C8" w:rsidR="00A52413">
        <w:rPr>
          <w:rFonts w:cs="Calibri" w:cstheme="minorAscii"/>
        </w:rPr>
        <w:t xml:space="preserve">Wagon </w:t>
      </w:r>
      <w:r w:rsidRPr="164BD4C8" w:rsidR="00A52413">
        <w:rPr>
          <w:rFonts w:cs="Calibri" w:cstheme="minorAscii"/>
        </w:rPr>
        <w:t xml:space="preserve">app </w:t>
      </w:r>
      <w:r w:rsidRPr="164BD4C8" w:rsidR="00A52413">
        <w:rPr>
          <w:rFonts w:cs="Calibri" w:cstheme="minorAscii"/>
        </w:rPr>
        <w:t>is both a client monitoring tool for counsellors, as well as a daily recovery support tool for clients.</w:t>
      </w:r>
    </w:p>
    <w:p w:rsidR="008234CD" w:rsidP="008234CD" w:rsidRDefault="008234CD" w14:paraId="5FAEF4EE" w14:textId="0301867C">
      <w:r w:rsidR="008234CD">
        <w:rPr/>
        <w:t xml:space="preserve">This summary reflects the findings and recommendations </w:t>
      </w:r>
      <w:r w:rsidR="00140770">
        <w:rPr/>
        <w:t xml:space="preserve">from the </w:t>
      </w:r>
      <w:r w:rsidR="00A52413">
        <w:rPr/>
        <w:t>second</w:t>
      </w:r>
      <w:r w:rsidR="00140770">
        <w:rPr/>
        <w:t xml:space="preserve"> </w:t>
      </w:r>
      <w:r w:rsidR="00E76667">
        <w:rPr/>
        <w:t>PIA</w:t>
      </w:r>
      <w:r w:rsidR="00140770">
        <w:rPr/>
        <w:t xml:space="preserve"> conducted for </w:t>
      </w:r>
      <w:r w:rsidR="499D5B1F">
        <w:rPr/>
        <w:t>EHN Outpatient Services Version 3.0</w:t>
      </w:r>
      <w:r w:rsidR="008234CD">
        <w:rPr/>
        <w:t xml:space="preserve">. The PIA was conducted </w:t>
      </w:r>
      <w:r w:rsidR="00F87017">
        <w:rPr/>
        <w:t>based on the guidelines recommended by the Office of the Privacy Commissioner of Canada,</w:t>
      </w:r>
      <w:r w:rsidR="008234CD">
        <w:rPr/>
        <w:t xml:space="preserve"> which incorporates the ten principles of the Canadian Standards Association Model Code for assessing fair information handling practices. </w:t>
      </w:r>
    </w:p>
    <w:p w:rsidR="00823706" w:rsidP="00823706" w:rsidRDefault="008234CD" w14:paraId="0C16E5C3" w14:textId="77777777">
      <w:pPr>
        <w:pStyle w:val="Heading2"/>
      </w:pPr>
      <w:r>
        <w:t xml:space="preserve">Privacy Principles </w:t>
      </w:r>
    </w:p>
    <w:p w:rsidR="008234CD" w:rsidP="008234CD" w:rsidRDefault="008234CD" w14:paraId="075E91CD" w14:textId="3B8275C8">
      <w:r w:rsidR="008234CD">
        <w:rPr/>
        <w:t xml:space="preserve">The findings and recommendations relating to potential privacy risks for </w:t>
      </w:r>
      <w:r w:rsidR="545DBA9C">
        <w:rPr/>
        <w:t>EHN Outpatient Services 3.0</w:t>
      </w:r>
      <w:r w:rsidR="008234CD">
        <w:rPr/>
        <w:t xml:space="preserve"> are presented in a framework consistent with the ten privacy principles of the CSA Model Code for assessing fair information handling practices. </w:t>
      </w:r>
    </w:p>
    <w:p w:rsidR="00823706" w:rsidP="00190055" w:rsidRDefault="008234CD" w14:paraId="25F65B60" w14:textId="5B9BE084">
      <w:pPr>
        <w:pStyle w:val="Heading3"/>
      </w:pPr>
      <w:r>
        <w:t>Principle 1: Accountability</w:t>
      </w:r>
    </w:p>
    <w:p w:rsidR="00807D33" w:rsidP="00867973" w:rsidRDefault="00190055" w14:paraId="0B6A8DD8" w14:textId="2571EA82">
      <w:pPr>
        <w:rPr>
          <w:rFonts w:ascii="Calibri" w:hAnsi="Calibri" w:cs="Calibri"/>
          <w:color w:val="000000"/>
        </w:rPr>
      </w:pPr>
      <w:r>
        <w:rPr>
          <w:b/>
        </w:rPr>
        <w:br/>
      </w:r>
      <w:r w:rsidRPr="00867973" w:rsidR="00807D33">
        <w:rPr>
          <w:b/>
        </w:rPr>
        <w:t>Compliance status:</w:t>
      </w:r>
      <w:r w:rsidR="00807D33">
        <w:t xml:space="preserve"> </w:t>
      </w:r>
      <w:r w:rsidR="00C23B88">
        <w:rPr>
          <w:rFonts w:ascii="Calibri" w:hAnsi="Calibri" w:cs="Calibri"/>
          <w:color w:val="000000"/>
        </w:rPr>
        <w:t>Full</w:t>
      </w:r>
    </w:p>
    <w:p w:rsidR="00C23B88" w:rsidP="00C23B88" w:rsidRDefault="00C23B88" w14:paraId="572C2988" w14:textId="77777777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="00C23B88" w:rsidP="00C23B88" w:rsidRDefault="00C23B88" w14:paraId="54421A53" w14:textId="77777777">
      <w:pPr>
        <w:pStyle w:val="ListParagraph"/>
        <w:numPr>
          <w:ilvl w:val="0"/>
          <w:numId w:val="5"/>
        </w:numPr>
      </w:pPr>
      <w:r>
        <w:t>None</w:t>
      </w:r>
    </w:p>
    <w:p w:rsidR="00190055" w:rsidP="00190055" w:rsidRDefault="008234CD" w14:paraId="335B13D8" w14:textId="4528EEC0">
      <w:pPr>
        <w:pStyle w:val="Heading3"/>
      </w:pPr>
      <w:r>
        <w:t xml:space="preserve">Principle 2: Identifying Purposes </w:t>
      </w:r>
    </w:p>
    <w:p w:rsidR="00190055" w:rsidP="00190055" w:rsidRDefault="00190055" w14:paraId="7DE6B87A" w14:textId="06F8CCC7">
      <w:pPr>
        <w:rPr>
          <w:rFonts w:ascii="Calibri" w:hAnsi="Calibri" w:cs="Calibri"/>
          <w:color w:val="000000"/>
        </w:rPr>
      </w:pPr>
      <w:r>
        <w:rPr>
          <w:b/>
        </w:rPr>
        <w:br/>
      </w:r>
      <w:r w:rsidRPr="00867973">
        <w:rPr>
          <w:b/>
        </w:rPr>
        <w:t>Compliance status:</w:t>
      </w:r>
      <w:r>
        <w:t xml:space="preserve"> </w:t>
      </w:r>
      <w:r>
        <w:rPr>
          <w:rFonts w:ascii="Calibri" w:hAnsi="Calibri" w:cs="Calibri"/>
          <w:color w:val="000000"/>
        </w:rPr>
        <w:t>Full</w:t>
      </w:r>
    </w:p>
    <w:p w:rsidR="00C23B88" w:rsidP="00C23B88" w:rsidRDefault="00C23B88" w14:paraId="280954D0" w14:textId="77777777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="00C23B88" w:rsidP="00C23B88" w:rsidRDefault="00C23B88" w14:paraId="090784FC" w14:textId="77777777">
      <w:pPr>
        <w:pStyle w:val="ListParagraph"/>
        <w:numPr>
          <w:ilvl w:val="0"/>
          <w:numId w:val="5"/>
        </w:numPr>
      </w:pPr>
      <w:r>
        <w:t>None</w:t>
      </w:r>
    </w:p>
    <w:p w:rsidR="00C23B88" w:rsidP="00190055" w:rsidRDefault="00C23B88" w14:paraId="11D4B3FB" w14:textId="77777777">
      <w:pPr>
        <w:rPr>
          <w:rFonts w:ascii="Calibri" w:hAnsi="Calibri" w:cs="Calibri"/>
          <w:color w:val="000000"/>
        </w:rPr>
      </w:pPr>
    </w:p>
    <w:p w:rsidR="00C576FB" w:rsidP="00C576FB" w:rsidRDefault="00C576FB" w14:paraId="44084B2C" w14:textId="37C599BD">
      <w:pPr>
        <w:pStyle w:val="Heading3"/>
      </w:pPr>
      <w:r>
        <w:lastRenderedPageBreak/>
        <w:t>Principle 3: Consent</w:t>
      </w:r>
    </w:p>
    <w:p w:rsidR="00C576FB" w:rsidP="00C576FB" w:rsidRDefault="00C576FB" w14:paraId="7768D487" w14:textId="00856DB9">
      <w:pPr>
        <w:rPr>
          <w:rFonts w:ascii="Calibri" w:hAnsi="Calibri" w:cs="Calibri"/>
          <w:color w:val="000000"/>
        </w:rPr>
      </w:pPr>
      <w:r>
        <w:rPr>
          <w:b/>
        </w:rPr>
        <w:br/>
      </w:r>
      <w:r w:rsidRPr="00867973">
        <w:rPr>
          <w:b/>
        </w:rPr>
        <w:t>Compliance status:</w:t>
      </w:r>
      <w:r>
        <w:t xml:space="preserve"> </w:t>
      </w:r>
      <w:r w:rsidR="00C23B88">
        <w:rPr>
          <w:rFonts w:ascii="Calibri" w:hAnsi="Calibri" w:cs="Calibri"/>
          <w:color w:val="000000"/>
        </w:rPr>
        <w:t>Full</w:t>
      </w:r>
    </w:p>
    <w:p w:rsidR="00C23B88" w:rsidP="00C23B88" w:rsidRDefault="00C23B88" w14:paraId="37F9E6A7" w14:textId="77777777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="00C23B88" w:rsidP="00C23B88" w:rsidRDefault="00C23B88" w14:paraId="09125586" w14:textId="77777777">
      <w:pPr>
        <w:pStyle w:val="ListParagraph"/>
        <w:numPr>
          <w:ilvl w:val="0"/>
          <w:numId w:val="5"/>
        </w:numPr>
      </w:pPr>
      <w:r>
        <w:t>None</w:t>
      </w:r>
    </w:p>
    <w:p w:rsidR="00190055" w:rsidP="00190055" w:rsidRDefault="008234CD" w14:paraId="10492D5E" w14:textId="64A47DE3">
      <w:pPr>
        <w:pStyle w:val="Heading3"/>
      </w:pPr>
      <w:r>
        <w:t xml:space="preserve">Principle 4: </w:t>
      </w:r>
      <w:r w:rsidR="00EA5A54">
        <w:t>Limiting Collection</w:t>
      </w:r>
      <w:r w:rsidR="00EA5A54">
        <w:br/>
      </w:r>
    </w:p>
    <w:p w:rsidR="00EA5A54" w:rsidP="00EA5A54" w:rsidRDefault="00EA5A54" w14:paraId="2F52D289" w14:textId="2459551E">
      <w:pPr>
        <w:rPr>
          <w:rFonts w:ascii="Calibri" w:hAnsi="Calibri" w:cs="Calibri"/>
          <w:color w:val="000000"/>
        </w:rPr>
      </w:pPr>
      <w:r w:rsidRPr="00867973">
        <w:rPr>
          <w:b/>
        </w:rPr>
        <w:t>Compliance status:</w:t>
      </w:r>
      <w:r>
        <w:t xml:space="preserve"> </w:t>
      </w:r>
      <w:r>
        <w:rPr>
          <w:rFonts w:ascii="Calibri" w:hAnsi="Calibri" w:cs="Calibri"/>
          <w:color w:val="000000"/>
        </w:rPr>
        <w:t>Full</w:t>
      </w:r>
    </w:p>
    <w:p w:rsidR="00EA5A54" w:rsidP="00EA5A54" w:rsidRDefault="00EA5A54" w14:paraId="1763A458" w14:textId="77777777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="008234CD" w:rsidP="00EA5A54" w:rsidRDefault="00EA5A54" w14:paraId="1B47C905" w14:textId="205D5980">
      <w:pPr>
        <w:pStyle w:val="ListParagraph"/>
        <w:numPr>
          <w:ilvl w:val="0"/>
          <w:numId w:val="5"/>
        </w:numPr>
      </w:pPr>
      <w:r>
        <w:t>None</w:t>
      </w:r>
    </w:p>
    <w:p w:rsidR="00190055" w:rsidP="00190055" w:rsidRDefault="008234CD" w14:paraId="5304609D" w14:textId="72541C17">
      <w:pPr>
        <w:pStyle w:val="Heading3"/>
      </w:pPr>
      <w:r>
        <w:t xml:space="preserve"> Principle 5: </w:t>
      </w:r>
      <w:r w:rsidR="00EA5A54">
        <w:t xml:space="preserve">Limiting Use, </w:t>
      </w:r>
      <w:r>
        <w:t>Disclosure</w:t>
      </w:r>
      <w:r w:rsidR="00EA5A54">
        <w:t>,</w:t>
      </w:r>
      <w:r>
        <w:t xml:space="preserve"> and Retention </w:t>
      </w:r>
    </w:p>
    <w:p w:rsidR="00EA5A54" w:rsidP="00EA5A54" w:rsidRDefault="00EA5A54" w14:paraId="201718A2" w14:textId="11971C6D">
      <w:pPr>
        <w:rPr>
          <w:rFonts w:ascii="Calibri" w:hAnsi="Calibri" w:cs="Calibri"/>
          <w:color w:val="000000"/>
        </w:rPr>
      </w:pPr>
      <w:r>
        <w:rPr>
          <w:b/>
        </w:rPr>
        <w:br/>
      </w:r>
      <w:r w:rsidRPr="00867973">
        <w:rPr>
          <w:b/>
        </w:rPr>
        <w:t>Compliance status:</w:t>
      </w:r>
      <w:r>
        <w:t xml:space="preserve"> </w:t>
      </w:r>
      <w:r w:rsidR="00A52413">
        <w:t>Full</w:t>
      </w:r>
    </w:p>
    <w:p w:rsidR="00EA5A54" w:rsidP="00EA5A54" w:rsidRDefault="00EA5A54" w14:paraId="3118D03A" w14:textId="77777777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="00C23B88" w:rsidP="00C23B88" w:rsidRDefault="00A52413" w14:paraId="6524E878" w14:textId="14101F7C">
      <w:pPr>
        <w:pStyle w:val="ListParagraph"/>
        <w:numPr>
          <w:ilvl w:val="0"/>
          <w:numId w:val="4"/>
        </w:numPr>
      </w:pPr>
      <w:bookmarkStart w:name="_Hlk525822648" w:id="0"/>
      <w:r>
        <w:t>None</w:t>
      </w:r>
    </w:p>
    <w:bookmarkEnd w:id="0"/>
    <w:p w:rsidR="008234CD" w:rsidP="00190055" w:rsidRDefault="008234CD" w14:paraId="6805745C" w14:textId="221EFFC9">
      <w:pPr>
        <w:pStyle w:val="Heading3"/>
      </w:pPr>
      <w:r>
        <w:t xml:space="preserve">Principle 6: Accuracy </w:t>
      </w:r>
    </w:p>
    <w:p w:rsidR="00140C7B" w:rsidP="00140C7B" w:rsidRDefault="008234CD" w14:paraId="2E29E067" w14:textId="4120FAD9">
      <w:pPr>
        <w:rPr>
          <w:rFonts w:ascii="Calibri" w:hAnsi="Calibri" w:cs="Calibri"/>
          <w:color w:val="000000"/>
        </w:rPr>
      </w:pPr>
      <w:r>
        <w:t xml:space="preserve"> </w:t>
      </w:r>
      <w:r w:rsidR="00140C7B">
        <w:br/>
      </w:r>
      <w:r w:rsidRPr="00867973" w:rsidR="00140C7B">
        <w:rPr>
          <w:b/>
        </w:rPr>
        <w:t>Compliance status:</w:t>
      </w:r>
      <w:r w:rsidR="00140C7B">
        <w:t xml:space="preserve"> Partial</w:t>
      </w:r>
    </w:p>
    <w:p w:rsidR="00140C7B" w:rsidP="00140C7B" w:rsidRDefault="00140C7B" w14:paraId="1792A19E" w14:textId="46D2E08A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="00C23B88" w:rsidP="00C23B88" w:rsidRDefault="00C23B88" w14:paraId="16672660" w14:textId="77777777">
      <w:pPr>
        <w:pStyle w:val="ListParagraph"/>
        <w:numPr>
          <w:ilvl w:val="0"/>
          <w:numId w:val="2"/>
        </w:numPr>
      </w:pPr>
      <w:bookmarkStart w:name="_Hlk525822748" w:id="1"/>
      <w:r>
        <w:t>Develop a policy for periodic testing of the accuracy of the transmission of client data.</w:t>
      </w:r>
    </w:p>
    <w:p w:rsidR="00C23B88" w:rsidP="00C23B88" w:rsidRDefault="00C23B88" w14:paraId="0E37FDFB" w14:textId="77777777">
      <w:pPr>
        <w:pStyle w:val="ListParagraph"/>
        <w:numPr>
          <w:ilvl w:val="0"/>
          <w:numId w:val="2"/>
        </w:numPr>
        <w:rPr>
          <w:color w:val="000000"/>
        </w:rPr>
      </w:pPr>
      <w:r w:rsidRPr="0082606C">
        <w:rPr>
          <w:color w:val="000000"/>
        </w:rPr>
        <w:t xml:space="preserve">Develop policies and procedures for monitoring and evaluating </w:t>
      </w:r>
      <w:r>
        <w:rPr>
          <w:color w:val="000000"/>
        </w:rPr>
        <w:t xml:space="preserve">Wagon user </w:t>
      </w:r>
      <w:r w:rsidRPr="0082606C">
        <w:rPr>
          <w:color w:val="000000"/>
        </w:rPr>
        <w:t>audit logs.</w:t>
      </w:r>
    </w:p>
    <w:bookmarkEnd w:id="1"/>
    <w:p w:rsidR="008234CD" w:rsidP="00190055" w:rsidRDefault="008234CD" w14:paraId="01718B2C" w14:textId="422CCF37">
      <w:pPr>
        <w:pStyle w:val="Heading3"/>
      </w:pPr>
      <w:r>
        <w:t>Principle 7: Safeguard</w:t>
      </w:r>
      <w:r w:rsidR="00A16B31">
        <w:t>s</w:t>
      </w:r>
    </w:p>
    <w:p w:rsidR="00A16B31" w:rsidP="00A16B31" w:rsidRDefault="00A16B31" w14:paraId="0E46EBB5" w14:textId="6A79F73B">
      <w:pPr>
        <w:rPr>
          <w:rFonts w:ascii="Calibri" w:hAnsi="Calibri" w:cs="Calibri"/>
          <w:color w:val="000000"/>
        </w:rPr>
      </w:pPr>
      <w:r>
        <w:rPr>
          <w:b/>
        </w:rPr>
        <w:br/>
      </w:r>
      <w:r w:rsidRPr="00867973">
        <w:rPr>
          <w:b/>
        </w:rPr>
        <w:t>Compliance status:</w:t>
      </w:r>
      <w:r>
        <w:t xml:space="preserve"> Partial</w:t>
      </w:r>
    </w:p>
    <w:p w:rsidR="00A16B31" w:rsidP="00A16B31" w:rsidRDefault="00A16B31" w14:paraId="51CD298A" w14:textId="77777777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Pr="002177BD" w:rsidR="00C23B88" w:rsidP="00C23B88" w:rsidRDefault="00C23B88" w14:paraId="5A95D654" w14:textId="77777777">
      <w:pPr>
        <w:pStyle w:val="ListParagraph"/>
        <w:numPr>
          <w:ilvl w:val="0"/>
          <w:numId w:val="2"/>
        </w:numPr>
        <w:rPr>
          <w:color w:val="000000"/>
        </w:rPr>
      </w:pPr>
      <w:r>
        <w:t xml:space="preserve">Configure Azure to monitor and report on inappropriate system use. </w:t>
      </w:r>
    </w:p>
    <w:p w:rsidRPr="0082606C" w:rsidR="00C23B88" w:rsidP="00C23B88" w:rsidRDefault="00C23B88" w14:paraId="414C29DC" w14:textId="77777777">
      <w:pPr>
        <w:pStyle w:val="ListParagraph"/>
        <w:numPr>
          <w:ilvl w:val="0"/>
          <w:numId w:val="2"/>
        </w:numPr>
        <w:rPr>
          <w:color w:val="000000"/>
        </w:rPr>
      </w:pPr>
      <w:r>
        <w:t>Develop and document a policy for monitoring and responding to inappropriate system use.</w:t>
      </w:r>
    </w:p>
    <w:p w:rsidR="008234CD" w:rsidP="00190055" w:rsidRDefault="008234CD" w14:paraId="7BF4B660" w14:textId="5B8FC3AB">
      <w:pPr>
        <w:pStyle w:val="Heading3"/>
      </w:pPr>
      <w:r>
        <w:t xml:space="preserve">Principle 8: Openness </w:t>
      </w:r>
    </w:p>
    <w:p w:rsidR="00246DF2" w:rsidP="00246DF2" w:rsidRDefault="00246DF2" w14:paraId="68F25B05" w14:textId="793436C2">
      <w:pPr>
        <w:rPr>
          <w:rFonts w:ascii="Calibri" w:hAnsi="Calibri" w:cs="Calibri"/>
          <w:color w:val="000000"/>
        </w:rPr>
      </w:pPr>
      <w:r>
        <w:br/>
      </w:r>
      <w:r w:rsidRPr="00867973">
        <w:rPr>
          <w:b/>
        </w:rPr>
        <w:t>Compliance status:</w:t>
      </w:r>
      <w:r>
        <w:t xml:space="preserve"> </w:t>
      </w:r>
      <w:r w:rsidR="00C23B88">
        <w:t>Full</w:t>
      </w:r>
    </w:p>
    <w:p w:rsidR="00246DF2" w:rsidP="00246DF2" w:rsidRDefault="00246DF2" w14:paraId="349AB35F" w14:textId="77777777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="002F5871" w:rsidP="002F5871" w:rsidRDefault="00C23B88" w14:paraId="7EBF7C12" w14:textId="67D004DD">
      <w:pPr>
        <w:pStyle w:val="ListParagraph"/>
        <w:numPr>
          <w:ilvl w:val="0"/>
          <w:numId w:val="4"/>
        </w:numPr>
      </w:pPr>
      <w:r>
        <w:t>None</w:t>
      </w:r>
    </w:p>
    <w:p w:rsidR="008234CD" w:rsidP="00190055" w:rsidRDefault="008234CD" w14:paraId="4CD3D25D" w14:textId="7734AAFD">
      <w:pPr>
        <w:pStyle w:val="Heading3"/>
      </w:pPr>
      <w:r>
        <w:lastRenderedPageBreak/>
        <w:t xml:space="preserve">Principle 9: Individual Access </w:t>
      </w:r>
    </w:p>
    <w:p w:rsidR="002F5871" w:rsidP="002F5871" w:rsidRDefault="002F5871" w14:paraId="575C11FE" w14:textId="504B4B4D">
      <w:pPr>
        <w:rPr>
          <w:rFonts w:ascii="Calibri" w:hAnsi="Calibri" w:cs="Calibri"/>
          <w:color w:val="000000"/>
        </w:rPr>
      </w:pPr>
      <w:r>
        <w:rPr>
          <w:b/>
        </w:rPr>
        <w:br/>
      </w:r>
      <w:r w:rsidRPr="00867973">
        <w:rPr>
          <w:b/>
        </w:rPr>
        <w:t>Compliance status:</w:t>
      </w:r>
      <w:r>
        <w:t xml:space="preserve"> Full</w:t>
      </w:r>
    </w:p>
    <w:p w:rsidR="002F5871" w:rsidP="002F5871" w:rsidRDefault="002F5871" w14:paraId="022B2979" w14:textId="77777777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Pr="002F5871" w:rsidR="002F5871" w:rsidP="002F5871" w:rsidRDefault="002F5871" w14:paraId="3A9092CA" w14:textId="1849915A">
      <w:pPr>
        <w:pStyle w:val="ListParagraph"/>
        <w:numPr>
          <w:ilvl w:val="0"/>
          <w:numId w:val="6"/>
        </w:numPr>
      </w:pPr>
      <w:r>
        <w:t>None</w:t>
      </w:r>
    </w:p>
    <w:p w:rsidR="00312C0A" w:rsidP="002F5871" w:rsidRDefault="008234CD" w14:paraId="50602F2D" w14:textId="43E9B139">
      <w:pPr>
        <w:pStyle w:val="Heading3"/>
      </w:pPr>
      <w:r>
        <w:t xml:space="preserve">Principle 10: Challenging Compliance </w:t>
      </w:r>
    </w:p>
    <w:p w:rsidR="002F5871" w:rsidP="002F5871" w:rsidRDefault="002F5871" w14:paraId="719831E8" w14:textId="519087A6">
      <w:pPr>
        <w:rPr>
          <w:rFonts w:ascii="Calibri" w:hAnsi="Calibri" w:cs="Calibri"/>
          <w:color w:val="000000"/>
        </w:rPr>
      </w:pPr>
      <w:r>
        <w:rPr>
          <w:b/>
        </w:rPr>
        <w:br/>
      </w:r>
      <w:r w:rsidRPr="00867973">
        <w:rPr>
          <w:b/>
        </w:rPr>
        <w:t>Compliance status:</w:t>
      </w:r>
      <w:r>
        <w:t xml:space="preserve"> </w:t>
      </w:r>
      <w:r w:rsidR="00A52413">
        <w:t>Full</w:t>
      </w:r>
    </w:p>
    <w:p w:rsidR="002F5871" w:rsidP="002F5871" w:rsidRDefault="002F5871" w14:paraId="76BF935B" w14:textId="77777777">
      <w:pPr>
        <w:rPr>
          <w:b/>
          <w:color w:val="000000"/>
          <w:szCs w:val="28"/>
        </w:rPr>
      </w:pPr>
      <w:r w:rsidRPr="00867973">
        <w:rPr>
          <w:b/>
          <w:color w:val="000000"/>
          <w:szCs w:val="28"/>
        </w:rPr>
        <w:t>Recommendations for risk mitigation:</w:t>
      </w:r>
    </w:p>
    <w:p w:rsidR="002F5871" w:rsidP="002F5871" w:rsidRDefault="00C23B88" w14:paraId="79C9460D" w14:textId="77242A2E">
      <w:pPr>
        <w:pStyle w:val="ListParagraph"/>
        <w:numPr>
          <w:ilvl w:val="0"/>
          <w:numId w:val="4"/>
        </w:numPr>
      </w:pPr>
      <w:r>
        <w:t>None</w:t>
      </w:r>
    </w:p>
    <w:p w:rsidR="002F5871" w:rsidP="002F5871" w:rsidRDefault="002F5871" w14:paraId="15A77E82" w14:textId="55AD06E9"/>
    <w:p w:rsidRPr="002F5871" w:rsidR="002F5871" w:rsidP="002F5871" w:rsidRDefault="002F5871" w14:paraId="69EEEFA2" w14:textId="77777777"/>
    <w:sectPr w:rsidRPr="002F5871" w:rsidR="002F5871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369A4"/>
    <w:multiLevelType w:val="hybridMultilevel"/>
    <w:tmpl w:val="E85EF43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9E83023"/>
    <w:multiLevelType w:val="hybridMultilevel"/>
    <w:tmpl w:val="B1A6A0D4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66325AE5"/>
    <w:multiLevelType w:val="hybridMultilevel"/>
    <w:tmpl w:val="B9B85E0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68FC566E"/>
    <w:multiLevelType w:val="hybridMultilevel"/>
    <w:tmpl w:val="043A97EA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393279E"/>
    <w:multiLevelType w:val="hybridMultilevel"/>
    <w:tmpl w:val="0CAEF3D8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7957024"/>
    <w:multiLevelType w:val="hybridMultilevel"/>
    <w:tmpl w:val="C88AF62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4CD"/>
    <w:rsid w:val="00140770"/>
    <w:rsid w:val="00140C7B"/>
    <w:rsid w:val="00190055"/>
    <w:rsid w:val="00246DF2"/>
    <w:rsid w:val="002F5871"/>
    <w:rsid w:val="00312C0A"/>
    <w:rsid w:val="00315BEB"/>
    <w:rsid w:val="003F4327"/>
    <w:rsid w:val="00551AE5"/>
    <w:rsid w:val="00600F69"/>
    <w:rsid w:val="006D5BC6"/>
    <w:rsid w:val="007B5B0C"/>
    <w:rsid w:val="0080152E"/>
    <w:rsid w:val="00807D33"/>
    <w:rsid w:val="008234CD"/>
    <w:rsid w:val="00823706"/>
    <w:rsid w:val="00867973"/>
    <w:rsid w:val="008C0692"/>
    <w:rsid w:val="009F400F"/>
    <w:rsid w:val="00A16B31"/>
    <w:rsid w:val="00A52413"/>
    <w:rsid w:val="00AF5BEB"/>
    <w:rsid w:val="00B30AA3"/>
    <w:rsid w:val="00C23B88"/>
    <w:rsid w:val="00C576FB"/>
    <w:rsid w:val="00CA4ED5"/>
    <w:rsid w:val="00D0189A"/>
    <w:rsid w:val="00E76667"/>
    <w:rsid w:val="00EA5A54"/>
    <w:rsid w:val="00EB1A30"/>
    <w:rsid w:val="00EE4536"/>
    <w:rsid w:val="00F87017"/>
    <w:rsid w:val="0170232A"/>
    <w:rsid w:val="027D70AA"/>
    <w:rsid w:val="04E9E85E"/>
    <w:rsid w:val="0DEECC65"/>
    <w:rsid w:val="164BD4C8"/>
    <w:rsid w:val="1DE9D6FE"/>
    <w:rsid w:val="29A87746"/>
    <w:rsid w:val="346C1F99"/>
    <w:rsid w:val="34896507"/>
    <w:rsid w:val="499D5B1F"/>
    <w:rsid w:val="4B026408"/>
    <w:rsid w:val="4C9E3469"/>
    <w:rsid w:val="545DBA9C"/>
    <w:rsid w:val="59628D8A"/>
    <w:rsid w:val="6DCF6105"/>
    <w:rsid w:val="770C45FE"/>
    <w:rsid w:val="7D3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191EA"/>
  <w15:chartTrackingRefBased/>
  <w15:docId w15:val="{291E9553-2BE5-48E9-9548-CC436532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077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0770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3706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07D33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40770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1407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CA"/>
    </w:rPr>
  </w:style>
  <w:style w:type="character" w:styleId="Heading2Char" w:customStyle="1">
    <w:name w:val="Heading 2 Char"/>
    <w:basedOn w:val="DefaultParagraphFont"/>
    <w:link w:val="Heading2"/>
    <w:uiPriority w:val="9"/>
    <w:rsid w:val="00140770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823706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807D33"/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link w:val="ListParagraphChar"/>
    <w:uiPriority w:val="34"/>
    <w:qFormat/>
    <w:rsid w:val="00867973"/>
    <w:pPr>
      <w:ind w:left="720"/>
      <w:contextualSpacing/>
    </w:pPr>
  </w:style>
  <w:style w:type="character" w:styleId="ListParagraphChar" w:customStyle="1">
    <w:name w:val="List Paragraph Char"/>
    <w:basedOn w:val="DefaultParagraphFont"/>
    <w:link w:val="ListParagraph"/>
    <w:uiPriority w:val="34"/>
    <w:locked/>
    <w:rsid w:val="00C23B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EB798E32204246922D6FA13F5FDB91" ma:contentTypeVersion="13" ma:contentTypeDescription="Create a new document." ma:contentTypeScope="" ma:versionID="b0e56d29661e69cf6cb56488e7b0d0d3">
  <xsd:schema xmlns:xsd="http://www.w3.org/2001/XMLSchema" xmlns:xs="http://www.w3.org/2001/XMLSchema" xmlns:p="http://schemas.microsoft.com/office/2006/metadata/properties" xmlns:ns2="1a182b0f-5731-4a3a-aa75-8fa1c20475e3" xmlns:ns3="d8e07fcb-0416-4ad6-b3ee-c85050c544d1" targetNamespace="http://schemas.microsoft.com/office/2006/metadata/properties" ma:root="true" ma:fieldsID="a1bfacbe7b36d53c0a0bd5ba6850a717" ns2:_="" ns3:_="">
    <xsd:import namespace="1a182b0f-5731-4a3a-aa75-8fa1c20475e3"/>
    <xsd:import namespace="d8e07fcb-0416-4ad6-b3ee-c85050c544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2b0f-5731-4a3a-aa75-8fa1c20475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e07fcb-0416-4ad6-b3ee-c85050c54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06FF2D-7E0B-42AD-BCEA-CA1EF50E7A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73772-1AE9-4440-860F-4DA6D421CAD0}"/>
</file>

<file path=customXml/itemProps3.xml><?xml version="1.0" encoding="utf-8"?>
<ds:datastoreItem xmlns:ds="http://schemas.openxmlformats.org/officeDocument/2006/customXml" ds:itemID="{3549584A-1B66-4D66-B676-890937B31B1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Samantha Campbell</dc:creator>
  <keywords/>
  <dc:description/>
  <lastModifiedBy>Samantha Campbell - EHN</lastModifiedBy>
  <revision>27</revision>
  <dcterms:created xsi:type="dcterms:W3CDTF">2018-09-26T21:08:00.0000000Z</dcterms:created>
  <dcterms:modified xsi:type="dcterms:W3CDTF">2021-12-20T15:34:15.9219371Z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0x01010090EB798E32204246922D6FA13F5FDB91</vt:lpwstr>
  </property>
</Properties>
</file>